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รายละเอียดของรายวิชา</w:t>
      </w: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ชื่อสถาบันอุดมศึกษา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มหาวิทยาลัยราชภัฎพระนครศรีอยุธยา</w:t>
            </w:r>
          </w:p>
        </w:tc>
      </w:tr>
      <w:tr w:rsidR="00F45FF4" w:rsidRPr="00B51712"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วิทยาเขต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คณะ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ภาควิชา        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มนุษยศาสตร์และสังคมศาสตร์</w:t>
            </w:r>
          </w:p>
        </w:tc>
      </w:tr>
    </w:tbl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รหัสและชื่อรายวิชา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ดนตรีโลก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(2063332)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จำนวนหน่วยกิต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หน่วยกิต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(2-2-5)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หลักสูตรและประเภทรายวิชา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ครุศาสตร์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สาขาดนตรีศึกษา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ประเภทกลุ่มวิชาเฉพาะ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บังคับ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อาจารย์ผู้รับผิดชอบรายวิชาและอาจารย์ผู้สอน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ผู้ช่วยศาสตราจารย์ดร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นภัสนันท์  จุนนเกษ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ระดับการศึกษา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ชั้นปีที่เรียน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ชั้นปีที่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เทอม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รายวิชาที่ต้องเรียนมาก่อน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(Pre-requisites)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รายวิชาที่ต้องเรียนพร้อมกัน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(Co-requisites)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ไม่มี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สถานที่เรียน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03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สาขาวิชาดนตรีศึกษา มหาวิทยาลัยราชภัฎพระนครศรีอยุธยา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9.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วันที่จัดทำรายละเอียดของรายวิชาหรือวันที่มีการปรับปรุงครั้งล่าสุด</w:t>
            </w:r>
          </w:p>
          <w:p w:rsidR="00F45FF4" w:rsidRPr="00B51712" w:rsidRDefault="00431005" w:rsidP="001121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(8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สิงหาคม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1121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F45FF4" w:rsidRPr="00B51712" w:rsidRDefault="00F45FF4">
      <w:pPr>
        <w:tabs>
          <w:tab w:val="center" w:pos="4824"/>
          <w:tab w:val="left" w:pos="697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tabs>
          <w:tab w:val="center" w:pos="4824"/>
          <w:tab w:val="left" w:pos="697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จุดมุ่งหมายและวัตถุประสงค์</w:t>
      </w:r>
    </w:p>
    <w:p w:rsidR="00F45FF4" w:rsidRPr="00B51712" w:rsidRDefault="00F45FF4">
      <w:pPr>
        <w:tabs>
          <w:tab w:val="center" w:pos="4824"/>
          <w:tab w:val="left" w:pos="6975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จุดมุ่งหมายของรายวิชา</w:t>
            </w:r>
          </w:p>
          <w:p w:rsidR="00F45FF4" w:rsidRPr="00B51712" w:rsidRDefault="00431005">
            <w:pPr>
              <w:tabs>
                <w:tab w:val="left" w:pos="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1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.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เพื่อออกแบบกลวิธีการสอนดนตรีในวัฒนธรรมอื่นๆ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  <w:tab/>
            </w:r>
          </w:p>
          <w:p w:rsidR="00F45FF4" w:rsidRPr="00B51712" w:rsidRDefault="00431005">
            <w:pPr>
              <w:tabs>
                <w:tab w:val="left" w:pos="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    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rtl/>
                <w:lang w:bidi="ar-SA"/>
              </w:rPr>
              <w:t>2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.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เพื่อให้ทราบและเข้าใจประวัติความเป็นมา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วัตถุประสงค์ในการพัฒนา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ปรับปรุงรายวิชา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เพื่อให้นักศึกษามีความรู้ความเข้าใจเกี่ยวกับประวัติความเป็นมา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</w:t>
            </w:r>
          </w:p>
        </w:tc>
      </w:tr>
    </w:tbl>
    <w:p w:rsidR="00F45FF4" w:rsidRPr="00B51712" w:rsidRDefault="00431005">
      <w:pPr>
        <w:tabs>
          <w:tab w:val="center" w:pos="482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F45FF4" w:rsidRPr="00B51712" w:rsidRDefault="00431005">
      <w:pPr>
        <w:tabs>
          <w:tab w:val="center" w:pos="482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3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ลักษณะการดำเนินการ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คำอธิบายรายวิชา</w:t>
            </w:r>
          </w:p>
          <w:p w:rsidR="00F45FF4" w:rsidRPr="00B51712" w:rsidRDefault="00431005">
            <w:pPr>
              <w:tabs>
                <w:tab w:val="left" w:pos="59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ออกแบบกลวิธีการสอนดนตรีในวัฒนธรรมอื่นๆ ในสถานศึกษา รู้และเข้าใจประวัติความเป็นมา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</w:r>
          </w:p>
        </w:tc>
      </w:tr>
      <w:tr w:rsidR="00F45FF4" w:rsidRPr="00B51712"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จำนวนชั่วโมงที่ใช้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ภาคการศึกษา</w:t>
            </w:r>
          </w:p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2"/>
              <w:gridCol w:w="2354"/>
              <w:gridCol w:w="2348"/>
              <w:gridCol w:w="2359"/>
            </w:tblGrid>
            <w:tr w:rsidR="00F45FF4" w:rsidRPr="00B51712">
              <w:tc>
                <w:tcPr>
                  <w:tcW w:w="2408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บรรยาย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35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ชั่วโมง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ภาค</w:t>
                  </w:r>
                </w:p>
              </w:tc>
              <w:tc>
                <w:tcPr>
                  <w:tcW w:w="2408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สอนเสริม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สอนเสริมตามความต้องการของนักศึกษาเฉพาะราย</w:t>
                  </w:r>
                </w:p>
              </w:tc>
              <w:tc>
                <w:tcPr>
                  <w:tcW w:w="2409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การฝึกปฏิบัติ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09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การศึกษาด้วยตนเอง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ชั่วโมง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ภาค</w:t>
                  </w:r>
                </w:p>
              </w:tc>
            </w:tr>
          </w:tbl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="00F45FF4" w:rsidRPr="00B51712" w:rsidRDefault="00431005">
            <w:pPr>
              <w:tabs>
                <w:tab w:val="left" w:pos="1515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อาจารย์จัดเวลาให้คำปรึกษาเป็นรายบุคคล หรือ รายกลุ่มตามความต้องการ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ชั่วโมงต่อสัปดาห์  หรือตามความต้องการของนักศึกษา</w:t>
            </w:r>
          </w:p>
        </w:tc>
      </w:tr>
    </w:tbl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การพัฒนาการเรียนรู้ของนักศึกษา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คุณธรรม จริยธรรม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1.1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คุณธรรม จริยธรรมที่ต้องพัฒนา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ปลูกฝังความมีเหตุผล ความรอบรู้ในเรื่องที่เกี่ยวข้องทางดนตรีอย่างรอบด้านและความตระหนักในคุณธรรมตามหลักปรัชญาของดนตรี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ปลูกฝังความมีวินัย ความรับผิดชอบ ความมีน้ำใจ เข้าใจผู้อื่นและความใฝ่รู้</w:t>
            </w:r>
          </w:p>
          <w:p w:rsidR="00F45FF4" w:rsidRPr="00B51712" w:rsidRDefault="00431005">
            <w:pPr>
              <w:spacing w:after="0" w:line="240" w:lineRule="auto"/>
              <w:ind w:left="1290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วิธีการสอนที่จะใช้พัฒนาการเรียนรู้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บรรยาย พร้อมยกตัวอย่างกรณีศึกษาเกี่ยวกับประเด็นทางจริยธรรมที่เกี่ยวข้อง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- 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อภิปรายกลุ่ม</w:t>
            </w:r>
          </w:p>
          <w:p w:rsidR="00F45FF4" w:rsidRPr="00B51712" w:rsidRDefault="00431005">
            <w:pPr>
              <w:spacing w:after="0" w:line="240" w:lineRule="auto"/>
              <w:ind w:left="1290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วิธีการประเมินผล</w:t>
            </w:r>
          </w:p>
          <w:p w:rsidR="00F45FF4" w:rsidRPr="00B51712" w:rsidRDefault="00431005">
            <w:pPr>
              <w:spacing w:after="0" w:line="240" w:lineRule="auto"/>
              <w:ind w:left="570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พฤติกรรมการเข้าเรียน และการส่งงานที่ได้รับมอบหมายตามขอบเขตเวลาที่กำหนด</w:t>
            </w:r>
          </w:p>
          <w:p w:rsidR="00F45FF4" w:rsidRPr="00B51712" w:rsidRDefault="00431005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มีการอ้างอิงเอกสารที่ได้นำมาทำรายงาน อย่างถูกต้องและเหมาะสม</w:t>
            </w:r>
          </w:p>
          <w:p w:rsidR="00F45FF4" w:rsidRPr="00B51712" w:rsidRDefault="00431005">
            <w:pPr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ประเมินผลการวิเคราะห์กรณีศึกษา</w:t>
            </w:r>
          </w:p>
          <w:p w:rsidR="00F45FF4" w:rsidRPr="00B51712" w:rsidRDefault="00431005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ประเมินผลการนำเสนอผลงานหรือรายงานที่มอบหมาย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ความรู้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2.1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ความรู้ที่ต้องได้รับ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ออกแบบกลวิธีการสอนดนตรีในวัฒนธรรมอื่นๆ ในสถานศึกษา รู้และเข้าใจประวัติความเป็นมา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2.2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  <w:p w:rsidR="00F45FF4" w:rsidRPr="00B51712" w:rsidRDefault="0043100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val="th-TH"/>
              </w:rPr>
              <w:t>การเรียนการสอนรายวิชาดนตรีโลก</w:t>
            </w:r>
            <w:r w:rsidRPr="00B5171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B5171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val="th-TH"/>
              </w:rPr>
              <w:t>ผู้สอนมุ่งเน้นพัฒนาศักยภาพของผู้เรียนเป็นสำคัญ  ในด้านสื่อสำคัญในการสอน ผู้สอนยังคงให้ความสำคัญต่อตำราแบบฝึกหัดหลักเป็นสำคัญด้วยเหตุเพราะตำราดังกล่าวได้มี การปรับปรุงพัฒนามาดีพอสมควรเหมาะสมต่อสภาพของรายวิชา ซึ่งสามารถเข้าใจฐานความคิด เข้าใจปรัชญาการ เรียนดนตรีดังนั้นการพัฒนาสื่อการเรียนการสอนยังคงยึดระดับมาตรฐานความเป็นสากลจากตำราที่ยอมรับต่อการเรียนรายวิชาดังกล่าวทั่วโลก ใน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การเรียนมีการเรียนการสอนการมีตัวแบบที่ดี แสดงตัวอย่าง การร่วมกันแสดงสาธิต การสังเกตจากกรณีตัวอย่างจริง การค้นคว้าด้วยตนเอง การฝึกบทฝึกเป็นรายบุคคลและการนำเสนอผลงานหน้าชั้นเรียนทำให้ผู้เรียนสามารถเข้าใจเนื้อหาการเรียนได้ดี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2.3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วิธีการประเมินผล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ทดสอบย่อย สอบปลายภาค ด้วยข้อสอบที่เน้นการวัดหลักการและทฤษฎี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ประเมินจากการนำเสนอผลการค้นคว้าข้อมูล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ทักษะทางปัญญา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3.1 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ทักษะทางปัญญาที่ต้องพัฒนา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พัฒนาความสามารถในการคิด วิเคราะห์อย่างมีระบบ มีหลักทางทฤษฎีดนตรีอ้างอิงได้ชัดเจน ตรงประเด็น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3.2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การมอบหมายงานให้นักศึกษา วิเคราะห์และแก้ไขปัญหาอย่างมีระบบ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3.3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วิธีการประเมินผล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สอบปลายภาคโดยเน้นข้อสอบที่มีการวิเคราะห์และการจดจำ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วัดผลจากการนำเสนอผลงาน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ทักษะความสัมพันธ์ระหว่างบุคคลและความรับผิดชอบ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4.1 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ทักษะความสัมพันธ์ระหว่างบุคคลและความรับผิดชอบที่ต้องพัฒนา</w:t>
            </w:r>
          </w:p>
          <w:p w:rsidR="00F45FF4" w:rsidRPr="00B51712" w:rsidRDefault="0043100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0" w:after="0" w:line="240" w:lineRule="auto"/>
              <w:ind w:left="462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-  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ัฒนาทั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ษะในการส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ร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้างส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ั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ัน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ธภ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า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ระหว่าง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ผ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ู้เรีย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น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ด้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ว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ยกัน</w:t>
            </w:r>
          </w:p>
          <w:p w:rsidR="00F45FF4" w:rsidRPr="00B51712" w:rsidRDefault="0043100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77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lang w:bidi="ar-SA"/>
              </w:rPr>
              <w:t xml:space="preserve">      -  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ัฒนาค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ว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ามเป็นผู้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น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ำ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และผู้ต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มใน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าร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ท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ำงานเป็นท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ี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ัฒนาการเร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ี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ยน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ร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ู้ด้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ว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ยตน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เ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งและ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ีคว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มรับผิด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ช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บในงา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น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ที่ม</w:t>
            </w:r>
            <w:r w:rsidRPr="00B51712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ห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มายให้คร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บ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ถ้วนตา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ำหนดเ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ว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4.2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จากความรับผิดชอบในการปฏิบัติกิจกรรมในชั้นเรียนและประเมินจากผลการปฏิบัติการแสดงผลงานรายบุคคลและรายกลุ่ม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บหมา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ย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งานรายกลุ่มและ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ร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ายบุคคลเ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ช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่น การ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ค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้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น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คว้าคว</w:t>
            </w:r>
            <w:r w:rsidRPr="00B51712">
              <w:rPr>
                <w:rFonts w:ascii="TH SarabunPSK" w:eastAsia="Times New Roman" w:hAnsi="TH SarabunPSK" w:cs="TH SarabunPSK"/>
                <w:spacing w:val="3"/>
                <w:sz w:val="32"/>
                <w:szCs w:val="32"/>
                <w:cs/>
                <w:lang w:val="th-TH"/>
              </w:rPr>
              <w:t>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้า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ว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ล้ำ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ข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งเ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ท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คโน</w:t>
            </w:r>
            <w:r w:rsidRPr="00B51712">
              <w:rPr>
                <w:rFonts w:ascii="TH SarabunPSK" w:eastAsia="Times New Roman" w:hAnsi="TH SarabunPSK" w:cs="TH SarabunPSK"/>
                <w:spacing w:val="2"/>
                <w:sz w:val="32"/>
                <w:szCs w:val="32"/>
                <w:cs/>
                <w:lang w:val="th-TH"/>
              </w:rPr>
              <w:t>โ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</w:t>
            </w:r>
            <w:r w:rsidRPr="00B51712">
              <w:rPr>
                <w:rFonts w:ascii="TH SarabunPSK" w:eastAsia="Times New Roman" w:hAnsi="TH SarabunPSK" w:cs="TH SarabunPSK"/>
                <w:spacing w:val="5"/>
                <w:sz w:val="32"/>
                <w:szCs w:val="32"/>
                <w:cs/>
                <w:lang w:val="th-TH"/>
              </w:rPr>
              <w:t>ยี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ทาง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ท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ฤ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ษ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ฎ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ีดนตรี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4.3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 xml:space="preserve">-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ประเมินจากรายงานที่นำเสนอ พฤติกรรมการทำงานเป็นทีม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ประเมินจากรายงานการศึกษาด้วยตนเอง</w:t>
            </w:r>
          </w:p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ทักษะการเรียนดนตรีโลก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5.1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ทักษะการเรียนดนตรีโลก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ศึกษาหลักของการออกแบบกลวิธีการสอนดนตรีในวัฒนธรรมอื่นๆ ในสถานศึกษา รู้และเข้าใจประวัติความเป็นมา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5.2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บรรยายหลักของการออกแบบกลวิธีการสอนดนตรีในวัฒนธรรมอื่นๆ ในสถานศึกษา รู้และเข้าใจประวัติความเป็นมา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5.3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rtl/>
                <w:cs/>
                <w:lang w:bidi="ar-SA"/>
              </w:rPr>
              <w:t xml:space="preserve">-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ประเมินจากการทำข้อสอบกลางภาค  และปลายภาค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-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ประเมินจากการทำ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Presentation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ที่ได้รับมอบหมายให้ทำ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ทักษะการเรียนรู้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6.1 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ทักษะการจัดการเรียนรู้ที่ต้องพัฒนา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ทักษะพื้นฐานที่สำคัญจำเป็นในการจัดการเรียนรู้ได้แก่ การสังเกต การคิดวิเคราะห์ การอธิบาย การตั้งคำถามและการสื่อสาร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6.2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วิธีการสอน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การใช้กรณีตัวอย่าง การศึกษาจากวีดีทัศน์ การอภิปรายการศึกษาผลงาน การศึกษาภาคสนาม การให้สะท้อนความคิด การให้ข้อมูลย้อนกลับพฤติกรรมและความคิด การให้ข้อเสนอแนะและคำแนะนำ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6.3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ประเมินผลจากการสังเกตพฤติกรรมการร่วมอภิปราย การตั้งคำถาม การตอบคำถามการนำเสนอผลงาน</w:t>
            </w:r>
          </w:p>
        </w:tc>
      </w:tr>
    </w:tbl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5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แผนการสอนและการประเมินผล</w:t>
      </w: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แผนการสอน</w:t>
            </w: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6"/>
              <w:gridCol w:w="3717"/>
              <w:gridCol w:w="1120"/>
              <w:gridCol w:w="3431"/>
            </w:tblGrid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rtl/>
                      <w:cs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สัปดาห์ที่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เนื้อหา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จำนวนคาบ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วิธีสอน</w:t>
                  </w: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rtl/>
                      <w:cs/>
                      <w:lang w:bidi="ar-SA"/>
                    </w:rPr>
                    <w:t>/</w:t>
                  </w: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rtl/>
                      <w:cs/>
                      <w:lang w:val="th-TH"/>
                    </w:rPr>
                    <w:t>กิจกรรม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ปฐมนิเทศ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แนะนำรายวิชาและวิธีการเรียนการสอน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ทบทวนภูมิหลังดนตรีภาพรวม</w:t>
                  </w:r>
                </w:p>
                <w:p w:rsidR="00F45FF4" w:rsidRPr="00B51712" w:rsidRDefault="00431005">
                  <w:pPr>
                    <w:spacing w:after="0" w:line="240" w:lineRule="auto"/>
                    <w:ind w:left="360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1121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หลักของการออกแบบกลวิธีการสอนดนตรีในวัฒนธรรมอื่นๆ ในสถานศึกษา</w:t>
                  </w:r>
                  <w:bookmarkStart w:id="0" w:name="_GoBack"/>
                  <w:bookmarkEnd w:id="0"/>
                  <w:r w:rsidRPr="001121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 รู้และเข้าใจประวัติความเป็นมา ประเภทเครื่องดนตรี ประเภทวงดนตรี ประเภทบทเพลง วัฒนธรรมประเพณีความเชื่อ ของดนตรีนานาชาติ ดนตรีพื้นเมือง ดนตรีท้องถิ่น ดนตรีเปรียบเทียบ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ปฐมนิเทศ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อภิปรายสรุป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ศึกษาค้นคว้า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2-3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ดนตรีอินเดีย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หน้าที่ของดนตรีในวัฒนธรรมดนตรีอินเดีย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ทำแบบฝึกหัด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ศึกษาค้นคว้า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4-5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ดนตรีจีน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รูปแบบวงดนตรี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หน้าที่ของดนตรีในวัฒนธรรมดนตรีจีน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  <w:t xml:space="preserve">- </w:t>
                  </w:r>
                  <w:proofErr w:type="gramStart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ศึกษาวีดีทัศน์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proofErr w:type="gramEnd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VCD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  <w:p w:rsidR="00F45FF4" w:rsidRPr="00B51712" w:rsidRDefault="00F45FF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ดนตรีกัมพูชา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หน้าที่ของดนตรีในวัฒนธรรมกัมพูชา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7-8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ดนตรีอินโดนีเชีย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หน้าที่ของดนตรีในวัฒนธรรมดนตรีอินโดนีเชีย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ทำแบบฝึกหัด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8268" w:type="dxa"/>
                  <w:gridSpan w:val="3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สอบกลางภาค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10 </w:t>
                  </w:r>
                </w:p>
              </w:tc>
              <w:tc>
                <w:tcPr>
                  <w:tcW w:w="3717" w:type="dxa"/>
                  <w:vAlign w:val="bottom"/>
                </w:tcPr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-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ดนตรีอาฟริกา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หน้าที่ของดนตรีในวัฒนธรรมดนตรีอาฟริกา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  <w:t xml:space="preserve">- </w:t>
                  </w:r>
                  <w:proofErr w:type="gramStart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ศึกษาวีดีทัศน์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proofErr w:type="gramEnd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VCD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ทำแบบฝึกหัด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ศึกษาค้นคว้า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11-12</w:t>
                  </w:r>
                </w:p>
              </w:tc>
              <w:tc>
                <w:tcPr>
                  <w:tcW w:w="3717" w:type="dxa"/>
                  <w:vAlign w:val="bottom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ดนตรีแถบละตินอเมริกา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หน้าที่ของดนตรีในวัฒนธรรมดนตรีแถบละตินอเมริกา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  <w:t xml:space="preserve">- </w:t>
                  </w:r>
                  <w:proofErr w:type="gramStart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ศึกษาวีดีทัศน์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proofErr w:type="gramEnd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VCD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ทำแบบฝึกหัด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ศึกษาค้นคว้า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13-14</w:t>
                  </w:r>
                </w:p>
              </w:tc>
              <w:tc>
                <w:tcPr>
                  <w:tcW w:w="3717" w:type="dxa"/>
                  <w:vAlign w:val="bottom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ดนตรีตะวันออกกลาง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หน้าที่ของดนตรีในวัฒนธรรมดนตรีแถบตะวันออกกลาง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บรรยายประกอบพาวเวอร์พอยต์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  <w:t xml:space="preserve">- </w:t>
                  </w:r>
                  <w:proofErr w:type="gramStart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ศึกษาวีดีทัศน์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proofErr w:type="gramEnd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VCD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ทำแบบฝึกหัด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ศึกษาค้นคว้า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3717" w:type="dxa"/>
                  <w:vAlign w:val="bottom"/>
                </w:tcPr>
                <w:p w:rsidR="00F45FF4" w:rsidRPr="00B51712" w:rsidRDefault="00431005">
                  <w:pPr>
                    <w:spacing w:after="0" w:line="240" w:lineRule="auto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ดนตรียุโรป</w:t>
                  </w:r>
                </w:p>
                <w:p w:rsidR="00F45FF4" w:rsidRPr="00B51712" w:rsidRDefault="00431005">
                  <w:pPr>
                    <w:spacing w:after="0" w:line="240" w:lineRule="auto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เครื่องดนตรี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วงดนตรี</w:t>
                  </w:r>
                </w:p>
                <w:p w:rsidR="00F45FF4" w:rsidRPr="00B51712" w:rsidRDefault="00431005">
                  <w:pPr>
                    <w:spacing w:after="0" w:line="240" w:lineRule="auto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ระบบโน้ต</w:t>
                  </w:r>
                </w:p>
                <w:p w:rsidR="00F45FF4" w:rsidRPr="00B51712" w:rsidRDefault="00431005">
                  <w:pPr>
                    <w:spacing w:after="0" w:line="240" w:lineRule="auto"/>
                    <w:ind w:left="360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หน้าที่ของดนตรีในวัฒนธรรมดนตรียุโรป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rtl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ร่วมกันสรุป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ทำแบบทดสอบ</w:t>
                  </w: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16</w:t>
                  </w:r>
                </w:p>
              </w:tc>
              <w:tc>
                <w:tcPr>
                  <w:tcW w:w="3717" w:type="dxa"/>
                  <w:vAlign w:val="center"/>
                </w:tcPr>
                <w:p w:rsidR="00F45FF4" w:rsidRPr="00B51712" w:rsidRDefault="0043100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สรุปดนตรีโลกในแต่ละวัฒนธรรม ตั้งแต่สัปดาห์ที่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1-15</w:t>
                  </w:r>
                </w:p>
              </w:tc>
              <w:tc>
                <w:tcPr>
                  <w:tcW w:w="1120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43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บรรยาย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lang w:bidi="ar-SA"/>
                    </w:rPr>
                    <w:t>-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 xml:space="preserve">ศึกษาวีดีทัศน์ 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proofErr w:type="gramEnd"/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VCD</w:t>
                  </w:r>
                </w:p>
                <w:p w:rsidR="00F45FF4" w:rsidRPr="00B51712" w:rsidRDefault="00F45FF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F45FF4" w:rsidRPr="00B51712">
              <w:tc>
                <w:tcPr>
                  <w:tcW w:w="136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8268" w:type="dxa"/>
                  <w:gridSpan w:val="3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สอบปลายภาค</w:t>
                  </w:r>
                </w:p>
              </w:tc>
            </w:tr>
          </w:tbl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rPr>
          <w:trHeight w:val="7433"/>
        </w:trPr>
        <w:tc>
          <w:tcPr>
            <w:tcW w:w="986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แผนการเมินผลการเรียนรู้</w:t>
            </w: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2976"/>
              <w:gridCol w:w="2835"/>
              <w:gridCol w:w="1134"/>
              <w:gridCol w:w="1701"/>
            </w:tblGrid>
            <w:tr w:rsidR="00F45FF4" w:rsidRPr="00B51712">
              <w:tc>
                <w:tcPr>
                  <w:tcW w:w="988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กิจกรรมที่</w:t>
                  </w:r>
                </w:p>
              </w:tc>
              <w:tc>
                <w:tcPr>
                  <w:tcW w:w="2976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ผลการเรียนรู้</w:t>
                  </w:r>
                </w:p>
              </w:tc>
              <w:tc>
                <w:tcPr>
                  <w:tcW w:w="2835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วิธีการประเมิน</w:t>
                  </w:r>
                </w:p>
              </w:tc>
              <w:tc>
                <w:tcPr>
                  <w:tcW w:w="1134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สัปดาห์ที่ประเมิน</w:t>
                  </w:r>
                </w:p>
              </w:tc>
              <w:tc>
                <w:tcPr>
                  <w:tcW w:w="170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สัดส่วนของการประเมินผล</w:t>
                  </w:r>
                </w:p>
              </w:tc>
            </w:tr>
            <w:tr w:rsidR="00F45FF4" w:rsidRPr="00B51712">
              <w:tc>
                <w:tcPr>
                  <w:tcW w:w="988" w:type="dxa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คุณธรรม</w:t>
                  </w:r>
                </w:p>
              </w:tc>
              <w:tc>
                <w:tcPr>
                  <w:tcW w:w="2835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บันทึกเวลามาเรียน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สังเกตพฤติกรรมการมีส่วนร่วมในชั้นเรียน</w:t>
                  </w:r>
                </w:p>
              </w:tc>
              <w:tc>
                <w:tcPr>
                  <w:tcW w:w="1134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ทุกสัปดาห์</w:t>
                  </w:r>
                </w:p>
              </w:tc>
              <w:tc>
                <w:tcPr>
                  <w:tcW w:w="170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10%</w:t>
                  </w:r>
                </w:p>
              </w:tc>
            </w:tr>
            <w:tr w:rsidR="00F45FF4" w:rsidRPr="00B51712">
              <w:tc>
                <w:tcPr>
                  <w:tcW w:w="988" w:type="dxa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ทักษะทางปัญญา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การวิเคราะห์เชิงตัวเลข การสื่อสารและการใช้เทคโนโลยีสารสนเทศ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ความสัมพันธ์ระหว่างบุคคลและความรับผิดชอบ</w:t>
                  </w:r>
                </w:p>
              </w:tc>
              <w:tc>
                <w:tcPr>
                  <w:tcW w:w="2835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ประเมินจากคุณภาพของงานรายบุคคล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ประเมินจากคุณภาพของงานรายกลุ่ม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สังเกตพฤติกรรมจากการมีส่วนร่วมกิจกรรม</w:t>
                  </w:r>
                </w:p>
              </w:tc>
              <w:tc>
                <w:tcPr>
                  <w:tcW w:w="1134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 – 3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 – 7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10 – 11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12 – 13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14 – 15</w:t>
                  </w:r>
                </w:p>
              </w:tc>
              <w:tc>
                <w:tcPr>
                  <w:tcW w:w="170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50%</w:t>
                  </w:r>
                </w:p>
              </w:tc>
            </w:tr>
            <w:tr w:rsidR="00F45FF4" w:rsidRPr="00B51712">
              <w:tc>
                <w:tcPr>
                  <w:tcW w:w="988" w:type="dxa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ทักษะพื้นฐานที่สำคัญจำเป็นในการจัดการเรียนรู้ได้แก่ การสังเกต การคิดวิเคราะห์ การอธิบาย การตั้งคำถามและการสื่อสาร</w:t>
                  </w:r>
                </w:p>
              </w:tc>
              <w:tc>
                <w:tcPr>
                  <w:tcW w:w="2835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สังเกตพฤติกรรมจากการมีส่วนร่วมกิจกรรม</w:t>
                  </w:r>
                </w:p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กระบวนการปฏิบัติในการทำงาน การนำเสนอ การนำเสนอความคิดและการนำเสนอผลงาน</w:t>
                  </w:r>
                </w:p>
              </w:tc>
              <w:tc>
                <w:tcPr>
                  <w:tcW w:w="1134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 – 3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6 – 7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10 – 11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12 – 13</w:t>
                  </w:r>
                </w:p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14 – 15</w:t>
                  </w:r>
                </w:p>
              </w:tc>
              <w:tc>
                <w:tcPr>
                  <w:tcW w:w="170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20%</w:t>
                  </w:r>
                </w:p>
              </w:tc>
            </w:tr>
            <w:tr w:rsidR="00F45FF4" w:rsidRPr="00B51712">
              <w:tc>
                <w:tcPr>
                  <w:tcW w:w="988" w:type="dxa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ความรู้ความเข้าใจในเนื้อหาของบทเรียน</w:t>
                  </w:r>
                </w:p>
              </w:tc>
              <w:tc>
                <w:tcPr>
                  <w:tcW w:w="2835" w:type="dxa"/>
                </w:tcPr>
                <w:p w:rsidR="00F45FF4" w:rsidRPr="00B51712" w:rsidRDefault="0043100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  <w:lang w:val="th-TH"/>
                    </w:rPr>
                    <w:t>สอบปลายภาค</w:t>
                  </w:r>
                </w:p>
              </w:tc>
              <w:tc>
                <w:tcPr>
                  <w:tcW w:w="1134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:rsidR="00F45FF4" w:rsidRPr="00B51712" w:rsidRDefault="0043100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171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20%</w:t>
                  </w:r>
                </w:p>
              </w:tc>
            </w:tr>
          </w:tbl>
          <w:p w:rsidR="00F45FF4" w:rsidRPr="00B51712" w:rsidRDefault="00F45FF4">
            <w:pPr>
              <w:tabs>
                <w:tab w:val="left" w:pos="849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45FF4" w:rsidRPr="00B51712" w:rsidRDefault="00431005">
      <w:pPr>
        <w:spacing w:before="120" w:after="60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แผนที่กระจายความรับผิดชอบต่อผลการกระจายความรับผิดชอบ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81"/>
        <w:gridCol w:w="361"/>
        <w:gridCol w:w="451"/>
        <w:gridCol w:w="418"/>
        <w:gridCol w:w="430"/>
        <w:gridCol w:w="438"/>
        <w:gridCol w:w="386"/>
        <w:gridCol w:w="482"/>
        <w:gridCol w:w="427"/>
        <w:gridCol w:w="404"/>
        <w:gridCol w:w="420"/>
        <w:gridCol w:w="410"/>
        <w:gridCol w:w="378"/>
        <w:gridCol w:w="454"/>
        <w:gridCol w:w="378"/>
        <w:gridCol w:w="336"/>
        <w:gridCol w:w="361"/>
        <w:gridCol w:w="419"/>
        <w:gridCol w:w="418"/>
        <w:gridCol w:w="399"/>
        <w:gridCol w:w="459"/>
        <w:gridCol w:w="7"/>
      </w:tblGrid>
      <w:tr w:rsidR="00F45FF4" w:rsidRPr="00B51712">
        <w:trPr>
          <w:trHeight w:val="809"/>
        </w:trPr>
        <w:tc>
          <w:tcPr>
            <w:tcW w:w="1240" w:type="dxa"/>
            <w:vMerge w:val="restart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รายวิชา</w:t>
            </w:r>
          </w:p>
        </w:tc>
        <w:tc>
          <w:tcPr>
            <w:tcW w:w="1611" w:type="dxa"/>
            <w:gridSpan w:val="4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คุณธรรมจริยธรรม</w:t>
            </w:r>
          </w:p>
        </w:tc>
        <w:tc>
          <w:tcPr>
            <w:tcW w:w="1254" w:type="dxa"/>
            <w:gridSpan w:val="3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ความรู้</w:t>
            </w:r>
          </w:p>
        </w:tc>
        <w:tc>
          <w:tcPr>
            <w:tcW w:w="1313" w:type="dxa"/>
            <w:gridSpan w:val="3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ทักษะทางปัญญา</w:t>
            </w:r>
          </w:p>
        </w:tc>
        <w:tc>
          <w:tcPr>
            <w:tcW w:w="1662" w:type="dxa"/>
            <w:gridSpan w:val="4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1075" w:type="dxa"/>
            <w:gridSpan w:val="3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ทักษะการวิเคราะห์เชิงตัวเลข</w:t>
            </w:r>
          </w:p>
        </w:tc>
        <w:tc>
          <w:tcPr>
            <w:tcW w:w="1697" w:type="dxa"/>
            <w:gridSpan w:val="5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ทักษะพิสัย</w:t>
            </w:r>
          </w:p>
        </w:tc>
      </w:tr>
      <w:tr w:rsidR="00F45FF4" w:rsidRPr="00B51712">
        <w:trPr>
          <w:gridAfter w:val="1"/>
          <w:wAfter w:w="7" w:type="dxa"/>
          <w:trHeight w:val="239"/>
        </w:trPr>
        <w:tc>
          <w:tcPr>
            <w:tcW w:w="1240" w:type="dxa"/>
            <w:vMerge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8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7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</w:tr>
      <w:tr w:rsidR="00F45FF4" w:rsidRPr="00B51712">
        <w:trPr>
          <w:gridAfter w:val="1"/>
          <w:wAfter w:w="7" w:type="dxa"/>
          <w:trHeight w:val="488"/>
        </w:trPr>
        <w:tc>
          <w:tcPr>
            <w:tcW w:w="124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lastRenderedPageBreak/>
              <w:t>ดนตรีโลก</w:t>
            </w:r>
          </w:p>
        </w:tc>
        <w:tc>
          <w:tcPr>
            <w:tcW w:w="38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36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56"/>
                <w:szCs w:val="56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451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highlight w:val="black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417" w:type="dxa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</w:p>
        </w:tc>
        <w:tc>
          <w:tcPr>
            <w:tcW w:w="43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438" w:type="dxa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82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427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03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2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10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37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52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378" w:type="dxa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6" w:type="dxa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1" w:type="dxa"/>
          </w:tcPr>
          <w:p w:rsidR="00F45FF4" w:rsidRPr="00B51712" w:rsidRDefault="00F45F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418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  <w:tc>
          <w:tcPr>
            <w:tcW w:w="39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72"/>
                <w:szCs w:val="72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○</w:t>
            </w:r>
          </w:p>
        </w:tc>
        <w:tc>
          <w:tcPr>
            <w:tcW w:w="459" w:type="dxa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Arial" w:eastAsia="Times New Roman" w:hAnsi="Arial" w:cs="Arial"/>
                <w:sz w:val="24"/>
                <w:szCs w:val="24"/>
              </w:rPr>
              <w:t>●</w:t>
            </w:r>
          </w:p>
        </w:tc>
      </w:tr>
    </w:tbl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F45FF4" w:rsidRPr="00B51712" w:rsidRDefault="0043100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เกณฑ์ตัดสินผลการเรียน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593"/>
        <w:gridCol w:w="2420"/>
        <w:gridCol w:w="2406"/>
      </w:tblGrid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เกรด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คะแนน ช่วงคะแนน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ความหมาย</w:t>
            </w:r>
          </w:p>
        </w:tc>
        <w:tc>
          <w:tcPr>
            <w:tcW w:w="2467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85-100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ดีเยี่ยม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B+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80-84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ดีมาก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B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75-79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ดี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C+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70-74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ดีพอใช้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65-69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พอใช้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D+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60-64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อ่อน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55-59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อ่อนมาก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F</w:t>
            </w:r>
          </w:p>
        </w:tc>
        <w:tc>
          <w:tcPr>
            <w:tcW w:w="3690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 xml:space="preserve">ต่ำกว่า </w:t>
            </w: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ตก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I</w:t>
            </w:r>
          </w:p>
        </w:tc>
        <w:tc>
          <w:tcPr>
            <w:tcW w:w="3690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ยังวัดผลไม่สมบูรณ์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3690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ไม่เป็นที่พอใจ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45FF4" w:rsidRPr="00B51712">
        <w:tc>
          <w:tcPr>
            <w:tcW w:w="1242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3690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66" w:type="dxa"/>
          </w:tcPr>
          <w:p w:rsidR="00F45FF4" w:rsidRPr="00B51712" w:rsidRDefault="004310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51712">
              <w:rPr>
                <w:rFonts w:ascii="TH SarabunPSK" w:eastAsia="Times New Roman" w:hAnsi="TH SarabunPSK" w:cs="TH SarabunPSK"/>
                <w:sz w:val="24"/>
                <w:szCs w:val="24"/>
                <w:cs/>
                <w:lang w:val="th-TH"/>
              </w:rPr>
              <w:t>เป็นที่พอใจ</w:t>
            </w:r>
          </w:p>
        </w:tc>
        <w:tc>
          <w:tcPr>
            <w:tcW w:w="2467" w:type="dxa"/>
          </w:tcPr>
          <w:p w:rsidR="00F45FF4" w:rsidRPr="00B51712" w:rsidRDefault="00F45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6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ทรัพยากรประกอบการเรียนการสอน</w:t>
      </w: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ตำราและเอกสารหลัก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หนังสือดนตรีโลก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ใบความรู้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,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ใบงาน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แบบทดสอบก่อนเรียนหลังเรียน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แถบบันทำเสียง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แถบบันทึกภาพ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เว็บไซด์ปราฎากรดอทคอม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เอกสารและข้อมูลสำคัญ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เว็บไซด์ดนตรี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และหนังสือที่เกี่ยวกับดนตรีโลก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เอกสารและข้อมูลแนะนำ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เว็บไซด์ ต่างๆ</w:t>
            </w:r>
          </w:p>
        </w:tc>
      </w:tr>
    </w:tbl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4310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7 </w:t>
      </w:r>
      <w:r w:rsidRPr="00B51712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การประเมินและปรับปรุงการดำเนินการของรายวิชา</w:t>
      </w: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กลยุทธ์การประเมินประสิทธิผลของรายวิชาโดยนักศึกษา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after="0" w:line="370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position w:val="1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การสนทนากลุ่มระหว่าง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ผ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ู้สอ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น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และผู้เรียน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after="0" w:line="370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position w:val="1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การสังเกต</w:t>
            </w:r>
            <w:r w:rsidRPr="00B51712">
              <w:rPr>
                <w:rFonts w:ascii="TH SarabunPSK" w:eastAsia="Times New Roman" w:hAnsi="TH SarabunPSK" w:cs="TH SarabunPSK"/>
                <w:spacing w:val="-2"/>
                <w:position w:val="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ารณ์จาก</w:t>
            </w:r>
            <w:r w:rsidRPr="00B51712">
              <w:rPr>
                <w:rFonts w:ascii="TH SarabunPSK" w:eastAsia="Times New Roman" w:hAnsi="TH SarabunPSK" w:cs="TH SarabunPSK"/>
                <w:spacing w:val="-2"/>
                <w:position w:val="1"/>
                <w:sz w:val="32"/>
                <w:szCs w:val="32"/>
                <w:cs/>
                <w:lang w:val="th-TH"/>
              </w:rPr>
              <w:t>พ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ฤติ</w:t>
            </w:r>
            <w:r w:rsidRPr="00B51712">
              <w:rPr>
                <w:rFonts w:ascii="TH SarabunPSK" w:eastAsia="Times New Roman" w:hAnsi="TH SarabunPSK" w:cs="TH SarabunPSK"/>
                <w:spacing w:val="-2"/>
                <w:position w:val="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รรมข</w:t>
            </w:r>
            <w:r w:rsidRPr="00B51712">
              <w:rPr>
                <w:rFonts w:ascii="TH SarabunPSK" w:eastAsia="Times New Roman" w:hAnsi="TH SarabunPSK" w:cs="TH SarabunPSK"/>
                <w:spacing w:val="-1"/>
                <w:position w:val="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งผู้เ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ร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ียน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position w:val="1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แบบประเ</w:t>
            </w:r>
            <w:r w:rsidRPr="00B51712">
              <w:rPr>
                <w:rFonts w:ascii="TH SarabunPSK" w:eastAsia="Times New Roman" w:hAnsi="TH SarabunPSK" w:cs="TH SarabunPSK"/>
                <w:spacing w:val="-1"/>
                <w:position w:val="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ิน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ผ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ู้สอนแ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ล</w:t>
            </w:r>
            <w:r w:rsidRPr="00B51712">
              <w:rPr>
                <w:rFonts w:ascii="TH SarabunPSK" w:eastAsia="Times New Roman" w:hAnsi="TH SarabunPSK" w:cs="TH SarabunPSK"/>
                <w:spacing w:val="-1"/>
                <w:position w:val="1"/>
                <w:sz w:val="32"/>
                <w:szCs w:val="32"/>
                <w:cs/>
                <w:lang w:val="th-TH"/>
              </w:rPr>
              <w:t>ะ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แบบประเ</w:t>
            </w:r>
            <w:r w:rsidRPr="00B51712">
              <w:rPr>
                <w:rFonts w:ascii="TH SarabunPSK" w:eastAsia="Times New Roman" w:hAnsi="TH SarabunPSK" w:cs="TH SarabunPSK"/>
                <w:spacing w:val="-1"/>
                <w:position w:val="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ินรา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ยว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ิ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ช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า</w:t>
            </w:r>
          </w:p>
          <w:p w:rsidR="00F45FF4" w:rsidRPr="00B51712" w:rsidRDefault="0043100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ประเมินผลการสอน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กลยุทธ์การประเมินการสอน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4543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ในก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า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รเก็บข้</w:t>
            </w:r>
            <w:r w:rsidRPr="00B51712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มูลเพื่</w:t>
            </w:r>
            <w:r w:rsidRPr="00B51712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ประเ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ินการสอนได้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ีกลยุทธ์ </w:t>
            </w:r>
            <w:r w:rsidRPr="00B51712">
              <w:rPr>
                <w:rFonts w:ascii="TH SarabunPSK" w:eastAsia="Times New Roman" w:hAnsi="TH SarabunPSK" w:cs="TH SarabunPSK"/>
                <w:w w:val="99"/>
                <w:sz w:val="32"/>
                <w:szCs w:val="32"/>
                <w:cs/>
                <w:lang w:val="th-TH"/>
              </w:rPr>
              <w:t>ดังนี้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after="0" w:line="367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position w:val="1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การสังเกต</w:t>
            </w:r>
            <w:r w:rsidRPr="00B51712">
              <w:rPr>
                <w:rFonts w:ascii="TH SarabunPSK" w:eastAsia="Times New Roman" w:hAnsi="TH SarabunPSK" w:cs="TH SarabunPSK"/>
                <w:spacing w:val="-2"/>
                <w:position w:val="1"/>
                <w:sz w:val="32"/>
                <w:szCs w:val="32"/>
                <w:cs/>
                <w:lang w:val="th-TH"/>
              </w:rPr>
              <w:t>ก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ารณ์สอนข</w:t>
            </w:r>
            <w:r w:rsidRPr="00B51712">
              <w:rPr>
                <w:rFonts w:ascii="TH SarabunPSK" w:eastAsia="Times New Roman" w:hAnsi="TH SarabunPSK" w:cs="TH SarabunPSK"/>
                <w:spacing w:val="-2"/>
                <w:position w:val="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งผู้สอน</w:t>
            </w:r>
          </w:p>
          <w:p w:rsidR="00F45FF4" w:rsidRPr="00B51712" w:rsidRDefault="0043100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position w:val="1"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ผ</w:t>
            </w:r>
            <w:r w:rsidRPr="00B51712">
              <w:rPr>
                <w:rFonts w:ascii="TH SarabunPSK" w:eastAsia="Times New Roman" w:hAnsi="TH SarabunPSK" w:cs="TH SarabunPSK"/>
                <w:spacing w:val="1"/>
                <w:position w:val="1"/>
                <w:sz w:val="32"/>
                <w:szCs w:val="32"/>
                <w:cs/>
                <w:lang w:val="th-TH"/>
              </w:rPr>
              <w:t>ล</w:t>
            </w:r>
            <w:r w:rsidRPr="00B51712">
              <w:rPr>
                <w:rFonts w:ascii="TH SarabunPSK" w:eastAsia="Times New Roman" w:hAnsi="TH SarabunPSK" w:cs="TH SarabunPSK"/>
                <w:position w:val="1"/>
                <w:sz w:val="32"/>
                <w:szCs w:val="32"/>
                <w:cs/>
                <w:lang w:val="th-TH"/>
              </w:rPr>
              <w:t>การสอบ</w:t>
            </w:r>
          </w:p>
          <w:p w:rsidR="00F45FF4" w:rsidRPr="00B51712" w:rsidRDefault="0043100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ar-SA"/>
              </w:rPr>
              <w:t>-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การทวน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ส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อ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บ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ผ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ล</w:t>
            </w:r>
            <w:r w:rsidRPr="00B51712">
              <w:rPr>
                <w:rFonts w:ascii="TH SarabunPSK" w:eastAsia="Times New Roman" w:hAnsi="TH SarabunPSK" w:cs="TH SarabunPSK"/>
                <w:spacing w:val="1"/>
                <w:sz w:val="32"/>
                <w:szCs w:val="32"/>
                <w:cs/>
                <w:lang w:val="th-TH"/>
              </w:rPr>
              <w:t>ป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ระเ</w:t>
            </w:r>
            <w:r w:rsidRPr="00B51712">
              <w:rPr>
                <w:rFonts w:ascii="TH SarabunPSK" w:eastAsia="Times New Roman" w:hAnsi="TH SarabunPSK" w:cs="TH SarabunPSK"/>
                <w:spacing w:val="-1"/>
                <w:sz w:val="32"/>
                <w:szCs w:val="32"/>
                <w:cs/>
                <w:lang w:val="th-TH"/>
              </w:rPr>
              <w:t>ม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ินการเรียนรู้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การปรับปรุงการสอน</w:t>
            </w:r>
          </w:p>
          <w:p w:rsidR="00F45FF4" w:rsidRPr="00B51712" w:rsidRDefault="00431005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นำผลจากการประเมินมาใช้ปรับปรุงการสอน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การทวนสอบมาตรฐานผลสัมฤทธิ์ของนักศึกษาในรายวิชา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ใช้แบบทดสอบก่อนเรียนและแบบทดสอบหลังเรียนในทวนสอบในรายวิชาทฤษฎีดนตรีไทย</w:t>
            </w:r>
          </w:p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หลังจากที่นักศึกษาได้เรียนตามหัวข้อในหลักสูตรเรียบร้อยแล้ว  ให้นักศึกษาจัดทำผลงานทั้งในรูปแบบรายงานและสร้างสรรค์ผลงานเป็นรูปแบบการบรรเลงดนตรีวงดนตรีไทย</w:t>
            </w:r>
          </w:p>
        </w:tc>
      </w:tr>
      <w:tr w:rsidR="00F45FF4" w:rsidRPr="00B51712">
        <w:tc>
          <w:tcPr>
            <w:tcW w:w="9865" w:type="dxa"/>
            <w:vAlign w:val="center"/>
          </w:tcPr>
          <w:p w:rsidR="00F45FF4" w:rsidRPr="00B51712" w:rsidRDefault="004310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B5171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F45FF4" w:rsidRPr="00B51712" w:rsidRDefault="00431005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 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นำผลที่ได้จากการประเมินของนักศึกษา คะแนนสอบของนักศึกษา การอภิปราย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B5171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สัมมนาของคณาจารย์ผู้สอน นำมาสรุปและพัฒนารายวิชาการสอนในภาคการศึกษาหน้า</w:t>
            </w:r>
          </w:p>
        </w:tc>
      </w:tr>
    </w:tbl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45FF4" w:rsidRPr="00B51712" w:rsidRDefault="00F45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:rsidR="00F45FF4" w:rsidRPr="00B51712" w:rsidRDefault="00F45FF4">
      <w:pPr>
        <w:rPr>
          <w:rFonts w:ascii="TH SarabunPSK" w:hAnsi="TH SarabunPSK" w:cs="TH SarabunPSK"/>
        </w:rPr>
      </w:pPr>
    </w:p>
    <w:sectPr w:rsidR="00F45FF4" w:rsidRPr="00B51712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298" w:right="1151" w:bottom="993" w:left="1440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AD" w:rsidRDefault="00FA26AD">
      <w:pPr>
        <w:spacing w:line="240" w:lineRule="auto"/>
      </w:pPr>
      <w:r>
        <w:separator/>
      </w:r>
    </w:p>
  </w:endnote>
  <w:endnote w:type="continuationSeparator" w:id="0">
    <w:p w:rsidR="00FA26AD" w:rsidRDefault="00FA2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4" w:rsidRDefault="004310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2</w:t>
    </w:r>
    <w:r>
      <w:rPr>
        <w:rStyle w:val="PageNumber"/>
      </w:rPr>
      <w:fldChar w:fldCharType="end"/>
    </w:r>
  </w:p>
  <w:p w:rsidR="00F45FF4" w:rsidRDefault="00F45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AD" w:rsidRDefault="00FA26AD">
      <w:pPr>
        <w:spacing w:after="0"/>
      </w:pPr>
      <w:r>
        <w:separator/>
      </w:r>
    </w:p>
  </w:footnote>
  <w:footnote w:type="continuationSeparator" w:id="0">
    <w:p w:rsidR="00FA26AD" w:rsidRDefault="00FA2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4" w:rsidRDefault="004310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2</w:t>
    </w:r>
    <w:r>
      <w:rPr>
        <w:rStyle w:val="PageNumber"/>
      </w:rPr>
      <w:fldChar w:fldCharType="end"/>
    </w:r>
  </w:p>
  <w:p w:rsidR="00F45FF4" w:rsidRDefault="00F45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4" w:rsidRPr="001121B1" w:rsidRDefault="00431005">
    <w:pPr>
      <w:pStyle w:val="Header"/>
      <w:jc w:val="right"/>
      <w:rPr>
        <w:rStyle w:val="PageNumber"/>
        <w:rFonts w:ascii="TH SarabunPSK" w:hAnsi="TH SarabunPSK" w:cs="TH SarabunPSK"/>
        <w:sz w:val="28"/>
      </w:rPr>
    </w:pPr>
    <w:r w:rsidRPr="001121B1">
      <w:rPr>
        <w:rFonts w:ascii="TH SarabunPSK" w:hAnsi="TH SarabunPSK" w:cs="TH SarabunPSK"/>
        <w:b/>
        <w:bCs/>
        <w:sz w:val="28"/>
        <w:cs/>
        <w:lang w:val="th-TH"/>
      </w:rPr>
      <w:t>มคอ</w:t>
    </w:r>
    <w:r w:rsidRPr="001121B1">
      <w:rPr>
        <w:rFonts w:ascii="TH SarabunPSK" w:hAnsi="TH SarabunPSK" w:cs="TH SarabunPSK"/>
        <w:b/>
        <w:bCs/>
        <w:sz w:val="28"/>
        <w:cs/>
      </w:rPr>
      <w:t xml:space="preserve">.3    </w:t>
    </w:r>
  </w:p>
  <w:p w:rsidR="00F45FF4" w:rsidRDefault="00F45FF4">
    <w:pPr>
      <w:pStyle w:val="Header"/>
      <w:jc w:val="right"/>
      <w:rPr>
        <w:rFonts w:ascii="Browallia New" w:hAnsi="Browallia New" w:cs="Browallia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F4" w:rsidRPr="00B51712" w:rsidRDefault="00431005">
    <w:pPr>
      <w:pStyle w:val="Header"/>
      <w:jc w:val="right"/>
      <w:rPr>
        <w:rFonts w:ascii="TH SarabunPSK" w:hAnsi="TH SarabunPSK" w:cs="TH SarabunPSK"/>
        <w:sz w:val="24"/>
        <w:szCs w:val="32"/>
        <w:cs/>
      </w:rPr>
    </w:pPr>
    <w:r w:rsidRPr="00B51712">
      <w:rPr>
        <w:rFonts w:ascii="TH SarabunPSK" w:hAnsi="TH SarabunPSK" w:cs="TH SarabunPSK"/>
        <w:sz w:val="24"/>
        <w:szCs w:val="32"/>
        <w:cs/>
        <w:lang w:val="th-TH"/>
      </w:rPr>
      <w:t>มคอ</w:t>
    </w:r>
    <w:r w:rsidRPr="00B51712">
      <w:rPr>
        <w:rFonts w:ascii="TH SarabunPSK" w:hAnsi="TH SarabunPSK" w:cs="TH SarabunPSK"/>
        <w:sz w:val="24"/>
        <w:szCs w:val="32"/>
        <w:cs/>
      </w:rPr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73D71"/>
    <w:multiLevelType w:val="multilevel"/>
    <w:tmpl w:val="7AA73D71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left" w:pos="1290"/>
        </w:tabs>
        <w:ind w:left="1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010"/>
        </w:tabs>
        <w:ind w:left="2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30"/>
        </w:tabs>
        <w:ind w:left="2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50"/>
        </w:tabs>
        <w:ind w:left="3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170"/>
        </w:tabs>
        <w:ind w:left="4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90"/>
        </w:tabs>
        <w:ind w:left="4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10"/>
        </w:tabs>
        <w:ind w:left="5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BA"/>
    <w:rsid w:val="001121B1"/>
    <w:rsid w:val="00152EFC"/>
    <w:rsid w:val="0034240A"/>
    <w:rsid w:val="00431005"/>
    <w:rsid w:val="006508BA"/>
    <w:rsid w:val="00B51712"/>
    <w:rsid w:val="00E60196"/>
    <w:rsid w:val="00F45FF4"/>
    <w:rsid w:val="00FA26AD"/>
    <w:rsid w:val="24B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E72A"/>
  <w15:docId w15:val="{DBE1881E-1CB7-427F-841C-76E216F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2025-04-15T02:26:00Z</dcterms:created>
  <dcterms:modified xsi:type="dcterms:W3CDTF">2025-04-15T02:26:00Z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F9BBBF6DB7174FB9AB7D9D297550370E</vt:lpwstr>
  </property>
</Properties>
</file>